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452CA7">
        <w:rPr>
          <w:b/>
        </w:rPr>
        <w:t>, 11-04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287E55">
        <w:t>March</w:t>
      </w:r>
      <w:r w:rsidR="00452CA7">
        <w:t xml:space="preserve"> 15, 2011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452CA7">
        <w:t>New Out of Home Care Case Consultation Requirements</w:t>
      </w:r>
    </w:p>
    <w:p w:rsidR="00452CA7" w:rsidRDefault="00452CA7" w:rsidP="00F34606">
      <w:pPr>
        <w:ind w:left="1440" w:hanging="2340"/>
      </w:pPr>
    </w:p>
    <w:p w:rsidR="009747FC" w:rsidRPr="00896043" w:rsidRDefault="00452CA7" w:rsidP="00452CA7">
      <w:pPr>
        <w:ind w:left="-900"/>
        <w:rPr>
          <w:szCs w:val="22"/>
        </w:rPr>
      </w:pPr>
      <w:r w:rsidRPr="00896043">
        <w:rPr>
          <w:szCs w:val="22"/>
        </w:rPr>
        <w:t>The purpose of this transmittal letter is to inform staff of SOP revisions regarding out of home care case consu</w:t>
      </w:r>
      <w:r w:rsidR="009747FC" w:rsidRPr="00896043">
        <w:rPr>
          <w:szCs w:val="22"/>
        </w:rPr>
        <w:t>ltations.  Please review the SOP listed below to learn about the</w:t>
      </w:r>
      <w:r w:rsidRPr="00896043">
        <w:rPr>
          <w:szCs w:val="22"/>
        </w:rPr>
        <w:t xml:space="preserve"> new timeframes for consultations and </w:t>
      </w:r>
      <w:r w:rsidR="000873ED" w:rsidRPr="00896043">
        <w:rPr>
          <w:szCs w:val="22"/>
        </w:rPr>
        <w:t xml:space="preserve">how </w:t>
      </w:r>
      <w:r w:rsidRPr="00896043">
        <w:rPr>
          <w:szCs w:val="22"/>
        </w:rPr>
        <w:t>they now incorporate sev</w:t>
      </w:r>
      <w:r w:rsidR="009747FC" w:rsidRPr="00896043">
        <w:rPr>
          <w:szCs w:val="22"/>
        </w:rPr>
        <w:t>eral regular meetings.  There are also two</w:t>
      </w:r>
      <w:r w:rsidRPr="00896043">
        <w:rPr>
          <w:szCs w:val="22"/>
        </w:rPr>
        <w:t xml:space="preserve"> new template</w:t>
      </w:r>
      <w:r w:rsidR="009747FC" w:rsidRPr="00896043">
        <w:rPr>
          <w:szCs w:val="22"/>
        </w:rPr>
        <w:t>s</w:t>
      </w:r>
      <w:r w:rsidRPr="00896043">
        <w:rPr>
          <w:szCs w:val="22"/>
        </w:rPr>
        <w:t xml:space="preserve"> that regions may utilize to record the details of the consultation.</w:t>
      </w:r>
      <w:r w:rsidR="009747FC" w:rsidRPr="00896043">
        <w:rPr>
          <w:szCs w:val="22"/>
        </w:rPr>
        <w:t xml:space="preserve">  </w:t>
      </w:r>
    </w:p>
    <w:p w:rsidR="009747FC" w:rsidRPr="00896043" w:rsidRDefault="009747FC" w:rsidP="00452CA7">
      <w:pPr>
        <w:ind w:left="-900"/>
        <w:rPr>
          <w:szCs w:val="22"/>
        </w:rPr>
      </w:pPr>
    </w:p>
    <w:p w:rsidR="00452CA7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0" w:history="1">
        <w:r w:rsidR="009747FC" w:rsidRPr="00896043">
          <w:rPr>
            <w:rStyle w:val="Hyperlink"/>
            <w:szCs w:val="22"/>
          </w:rPr>
          <w:t>SOP 1.5 Supervision and Consultation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1" w:history="1">
        <w:r w:rsidR="009747FC" w:rsidRPr="00896043">
          <w:rPr>
            <w:rStyle w:val="Hyperlink"/>
            <w:szCs w:val="22"/>
          </w:rPr>
          <w:t>SOP 1.12 Utilization Review and Consultation</w:t>
        </w:r>
      </w:hyperlink>
      <w:r w:rsidR="009747FC" w:rsidRPr="00896043">
        <w:rPr>
          <w:szCs w:val="22"/>
        </w:rPr>
        <w:t xml:space="preserve"> (Deleted)</w:t>
      </w:r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2" w:history="1">
        <w:r w:rsidR="009747FC" w:rsidRPr="00896043">
          <w:rPr>
            <w:rStyle w:val="Hyperlink"/>
            <w:szCs w:val="22"/>
          </w:rPr>
          <w:t>SOP 2.10 Initiating the Report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3" w:history="1">
        <w:r w:rsidR="009747FC" w:rsidRPr="00896043">
          <w:rPr>
            <w:rStyle w:val="Hyperlink"/>
            <w:szCs w:val="22"/>
          </w:rPr>
          <w:t>SOP 4.15 Timeframes for All OOHC Cases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4" w:history="1">
        <w:r w:rsidR="009747FC" w:rsidRPr="00896043">
          <w:rPr>
            <w:rStyle w:val="Hyperlink"/>
            <w:szCs w:val="22"/>
          </w:rPr>
          <w:t>SOP 4.16 Five (5) Day Conference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5" w:history="1">
        <w:r w:rsidR="009747FC" w:rsidRPr="00896043">
          <w:rPr>
            <w:rStyle w:val="Hyperlink"/>
            <w:szCs w:val="22"/>
          </w:rPr>
          <w:t>SOP 4.35 Ongoing Case Planning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6" w:history="1">
        <w:r w:rsidR="009747FC" w:rsidRPr="00896043">
          <w:rPr>
            <w:rStyle w:val="Hyperlink"/>
            <w:szCs w:val="22"/>
          </w:rPr>
          <w:t>SOP 11.36 Involuntary Termination of Parental Rights (TPR)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7" w:history="1">
        <w:r w:rsidR="009747FC" w:rsidRPr="00896043">
          <w:rPr>
            <w:rStyle w:val="Hyperlink"/>
            <w:szCs w:val="22"/>
          </w:rPr>
          <w:t>SOP 13.3 Swift Adoption</w:t>
        </w:r>
      </w:hyperlink>
    </w:p>
    <w:p w:rsidR="009747FC" w:rsidRPr="00896043" w:rsidRDefault="00FC1F0B" w:rsidP="009747FC">
      <w:pPr>
        <w:pStyle w:val="ListParagraph"/>
        <w:numPr>
          <w:ilvl w:val="0"/>
          <w:numId w:val="3"/>
        </w:numPr>
        <w:ind w:left="-450" w:hanging="270"/>
        <w:rPr>
          <w:szCs w:val="22"/>
        </w:rPr>
      </w:pPr>
      <w:hyperlink r:id="rId18" w:history="1">
        <w:r w:rsidR="009747FC" w:rsidRPr="00896043">
          <w:rPr>
            <w:rStyle w:val="Hyperlink"/>
            <w:szCs w:val="22"/>
          </w:rPr>
          <w:t>SOP 13.9 Sibling Relationship Decisions</w:t>
        </w:r>
      </w:hyperlink>
    </w:p>
    <w:p w:rsidR="00896043" w:rsidRPr="00896043" w:rsidRDefault="00FC1F0B" w:rsidP="00896043">
      <w:pPr>
        <w:pStyle w:val="ListParagraph"/>
        <w:numPr>
          <w:ilvl w:val="0"/>
          <w:numId w:val="3"/>
        </w:numPr>
        <w:ind w:left="-450" w:hanging="270"/>
        <w:rPr>
          <w:color w:val="000000"/>
          <w:szCs w:val="22"/>
        </w:rPr>
      </w:pPr>
      <w:hyperlink r:id="rId19" w:history="1">
        <w:r w:rsidR="00896043" w:rsidRPr="00896043">
          <w:rPr>
            <w:rStyle w:val="Hyperlink"/>
            <w:szCs w:val="22"/>
          </w:rPr>
          <w:t>Three Month Initial OOHC Case Consultation Template</w:t>
        </w:r>
      </w:hyperlink>
    </w:p>
    <w:p w:rsidR="000873ED" w:rsidRPr="00896043" w:rsidRDefault="00FC1F0B" w:rsidP="00896043">
      <w:pPr>
        <w:pStyle w:val="ListParagraph"/>
        <w:numPr>
          <w:ilvl w:val="0"/>
          <w:numId w:val="3"/>
        </w:numPr>
        <w:ind w:left="-450" w:hanging="270"/>
        <w:rPr>
          <w:color w:val="000000"/>
          <w:szCs w:val="22"/>
        </w:rPr>
      </w:pPr>
      <w:hyperlink r:id="rId20" w:history="1">
        <w:r w:rsidR="00896043" w:rsidRPr="00896043">
          <w:rPr>
            <w:rStyle w:val="Hyperlink"/>
            <w:szCs w:val="22"/>
          </w:rPr>
          <w:t>Ongoing OOHC Case Consultation Template</w:t>
        </w:r>
      </w:hyperlink>
    </w:p>
    <w:p w:rsidR="000873ED" w:rsidRPr="00896043" w:rsidRDefault="000873ED" w:rsidP="000873ED">
      <w:pPr>
        <w:ind w:left="-720"/>
        <w:rPr>
          <w:szCs w:val="22"/>
        </w:rPr>
      </w:pPr>
    </w:p>
    <w:p w:rsidR="00896043" w:rsidRPr="00896043" w:rsidRDefault="00896043" w:rsidP="000873ED">
      <w:pPr>
        <w:ind w:left="-720"/>
        <w:rPr>
          <w:szCs w:val="22"/>
        </w:rPr>
      </w:pPr>
      <w:r w:rsidRPr="00896043">
        <w:rPr>
          <w:szCs w:val="22"/>
        </w:rPr>
        <w:t xml:space="preserve">These revisions are effective immediately, but the orange and strikethroughs will remain until March 18, 2011 so that staff may familiarize themselves with the changes.  </w:t>
      </w:r>
    </w:p>
    <w:p w:rsidR="00896043" w:rsidRDefault="00896043" w:rsidP="000873ED">
      <w:pPr>
        <w:ind w:left="-720"/>
        <w:rPr>
          <w:szCs w:val="22"/>
        </w:rPr>
      </w:pPr>
    </w:p>
    <w:p w:rsidR="001F1F10" w:rsidRPr="00896043" w:rsidRDefault="000873ED" w:rsidP="000873ED">
      <w:pPr>
        <w:ind w:left="-720"/>
        <w:rPr>
          <w:szCs w:val="22"/>
        </w:rPr>
      </w:pPr>
      <w:r w:rsidRPr="00896043">
        <w:rPr>
          <w:szCs w:val="22"/>
        </w:rPr>
        <w:t xml:space="preserve">If you have any questions regarding the content of this letter, please contact </w:t>
      </w:r>
      <w:hyperlink r:id="rId21" w:history="1">
        <w:r w:rsidRPr="00896043">
          <w:rPr>
            <w:rStyle w:val="Hyperlink"/>
            <w:szCs w:val="22"/>
          </w:rPr>
          <w:t>tina.webb@ky.gov</w:t>
        </w:r>
      </w:hyperlink>
      <w:r w:rsidRPr="00896043">
        <w:rPr>
          <w:szCs w:val="22"/>
        </w:rPr>
        <w:t xml:space="preserve"> or </w:t>
      </w:r>
      <w:hyperlink r:id="rId22" w:history="1">
        <w:r w:rsidRPr="00896043">
          <w:rPr>
            <w:rStyle w:val="Hyperlink"/>
            <w:szCs w:val="22"/>
          </w:rPr>
          <w:t>bruce.linder@ky.gov</w:t>
        </w:r>
      </w:hyperlink>
      <w:r w:rsidRPr="00896043">
        <w:rPr>
          <w:szCs w:val="22"/>
        </w:rPr>
        <w:t xml:space="preserve"> for clarification.  </w:t>
      </w:r>
    </w:p>
    <w:sectPr w:rsidR="001F1F10" w:rsidRPr="00896043" w:rsidSect="00F34606"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FC" w:rsidRDefault="009747FC" w:rsidP="00F34606">
      <w:r>
        <w:separator/>
      </w:r>
    </w:p>
  </w:endnote>
  <w:endnote w:type="continuationSeparator" w:id="0">
    <w:p w:rsidR="009747FC" w:rsidRDefault="009747FC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FC" w:rsidRDefault="00FC1F0B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9747FC" w:rsidRDefault="009747FC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747FC" w:rsidRDefault="009747F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9747FC" w:rsidRDefault="009747F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9747FC" w:rsidRDefault="009747FC" w:rsidP="00F34606">
    <w:pPr>
      <w:pStyle w:val="Footer"/>
    </w:pPr>
  </w:p>
  <w:p w:rsidR="009747FC" w:rsidRDefault="00974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FC" w:rsidRDefault="009747FC" w:rsidP="00F34606">
      <w:r>
        <w:separator/>
      </w:r>
    </w:p>
  </w:footnote>
  <w:footnote w:type="continuationSeparator" w:id="0">
    <w:p w:rsidR="009747FC" w:rsidRDefault="009747FC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FC" w:rsidRDefault="00FC1F0B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9747FC" w:rsidRDefault="009747FC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747FC" w:rsidRDefault="009747FC" w:rsidP="00F34606">
    <w:pPr>
      <w:tabs>
        <w:tab w:val="center" w:pos="5264"/>
      </w:tabs>
      <w:spacing w:line="220" w:lineRule="atLeast"/>
      <w:rPr>
        <w:sz w:val="20"/>
      </w:rPr>
    </w:pPr>
  </w:p>
  <w:p w:rsidR="009747FC" w:rsidRDefault="009747FC" w:rsidP="00F34606">
    <w:pPr>
      <w:spacing w:line="220" w:lineRule="atLeast"/>
      <w:rPr>
        <w:sz w:val="20"/>
      </w:rPr>
    </w:pPr>
  </w:p>
  <w:p w:rsidR="009747FC" w:rsidRDefault="009747FC" w:rsidP="00F34606">
    <w:pPr>
      <w:spacing w:line="260" w:lineRule="atLeast"/>
      <w:rPr>
        <w:rFonts w:ascii="TradeGothic LH BoldExtended" w:hAnsi="TradeGothic LH BoldExtended"/>
        <w:sz w:val="20"/>
      </w:rPr>
    </w:pPr>
  </w:p>
  <w:p w:rsidR="009747FC" w:rsidRDefault="009747FC" w:rsidP="00F34606">
    <w:pPr>
      <w:spacing w:line="260" w:lineRule="atLeast"/>
      <w:rPr>
        <w:sz w:val="20"/>
      </w:rPr>
    </w:pPr>
  </w:p>
  <w:p w:rsidR="009747FC" w:rsidRDefault="009747FC" w:rsidP="00F34606">
    <w:pPr>
      <w:spacing w:line="260" w:lineRule="atLeast"/>
      <w:rPr>
        <w:sz w:val="20"/>
      </w:rPr>
    </w:pPr>
  </w:p>
  <w:p w:rsidR="009747FC" w:rsidRDefault="009747FC" w:rsidP="00F34606">
    <w:pPr>
      <w:spacing w:line="140" w:lineRule="atLeast"/>
      <w:rPr>
        <w:sz w:val="20"/>
      </w:rPr>
    </w:pPr>
  </w:p>
  <w:p w:rsidR="009747FC" w:rsidRDefault="009747FC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9747FC" w:rsidRDefault="009747FC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9747FC" w:rsidRDefault="00FC1F0B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9747FC" w:rsidRDefault="009747FC" w:rsidP="00F34606">
                <w:pPr>
                  <w:pStyle w:val="Address"/>
                </w:pPr>
                <w:r>
                  <w:t>Protection and Permanency</w:t>
                </w:r>
              </w:p>
              <w:p w:rsidR="009747FC" w:rsidRDefault="009747FC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9747FC" w:rsidRDefault="009747FC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9747FC" w:rsidRDefault="009747FC" w:rsidP="00F34606">
                <w:pPr>
                  <w:pStyle w:val="Address"/>
                </w:pPr>
                <w:r>
                  <w:t>(502) 564-7536 (Phone)</w:t>
                </w:r>
              </w:p>
              <w:p w:rsidR="009747FC" w:rsidRDefault="009747FC" w:rsidP="00F34606">
                <w:pPr>
                  <w:pStyle w:val="Address"/>
                </w:pPr>
                <w:r>
                  <w:t>(502) 564-4653 (Fax)</w:t>
                </w:r>
              </w:p>
              <w:p w:rsidR="009747FC" w:rsidRDefault="009747FC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9747FC" w:rsidRDefault="009747FC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9747FC" w:rsidRPr="001B5EF9" w:rsidRDefault="009747FC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9747FC" w:rsidRDefault="009747FC" w:rsidP="00F34606">
    <w:pPr>
      <w:pStyle w:val="GovSecretaryDeputySecname"/>
    </w:pPr>
  </w:p>
  <w:p w:rsidR="009747FC" w:rsidRDefault="009747FC" w:rsidP="00F34606">
    <w:pPr>
      <w:pStyle w:val="GovSecretaryDeputySectilte"/>
    </w:pPr>
    <w:r>
      <w:tab/>
    </w:r>
  </w:p>
  <w:p w:rsidR="009747FC" w:rsidRPr="00797852" w:rsidRDefault="009747FC" w:rsidP="00F34606">
    <w:pPr>
      <w:pStyle w:val="Header"/>
      <w:rPr>
        <w:rStyle w:val="normal-small1"/>
        <w:rFonts w:ascii="Arial" w:hAnsi="Arial"/>
        <w:szCs w:val="22"/>
      </w:rPr>
    </w:pPr>
  </w:p>
  <w:p w:rsidR="009747FC" w:rsidRDefault="009747FC" w:rsidP="00F34606">
    <w:pPr>
      <w:pStyle w:val="Header"/>
      <w:jc w:val="center"/>
    </w:pPr>
  </w:p>
  <w:p w:rsidR="009747FC" w:rsidRDefault="00974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6396495C"/>
    <w:multiLevelType w:val="hybridMultilevel"/>
    <w:tmpl w:val="0AA81584"/>
    <w:lvl w:ilvl="0" w:tplc="04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873ED"/>
    <w:rsid w:val="000E2BC8"/>
    <w:rsid w:val="000E6100"/>
    <w:rsid w:val="00140A0B"/>
    <w:rsid w:val="001E5FED"/>
    <w:rsid w:val="001F1F10"/>
    <w:rsid w:val="00221254"/>
    <w:rsid w:val="00234096"/>
    <w:rsid w:val="00235179"/>
    <w:rsid w:val="00287E55"/>
    <w:rsid w:val="003330E9"/>
    <w:rsid w:val="0038680D"/>
    <w:rsid w:val="00452CA7"/>
    <w:rsid w:val="004675F9"/>
    <w:rsid w:val="004B79EA"/>
    <w:rsid w:val="00595A0F"/>
    <w:rsid w:val="005B5FF2"/>
    <w:rsid w:val="00697083"/>
    <w:rsid w:val="006C6989"/>
    <w:rsid w:val="006E24AD"/>
    <w:rsid w:val="00896043"/>
    <w:rsid w:val="008A4DA4"/>
    <w:rsid w:val="008B5114"/>
    <w:rsid w:val="008C01FC"/>
    <w:rsid w:val="009747FC"/>
    <w:rsid w:val="00A669C9"/>
    <w:rsid w:val="00AB192C"/>
    <w:rsid w:val="00BF28D2"/>
    <w:rsid w:val="00C26BDB"/>
    <w:rsid w:val="00C52129"/>
    <w:rsid w:val="00CA5DCB"/>
    <w:rsid w:val="00CB1E0A"/>
    <w:rsid w:val="00CC5368"/>
    <w:rsid w:val="00EB0418"/>
    <w:rsid w:val="00F335C1"/>
    <w:rsid w:val="00F34606"/>
    <w:rsid w:val="00F543F8"/>
    <w:rsid w:val="00FC1F0B"/>
    <w:rsid w:val="00FC7D45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4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chapter4/11/Pages/415TimeframesforAllOOHCCases.aspx" TargetMode="External"/><Relationship Id="rId18" Type="http://schemas.openxmlformats.org/officeDocument/2006/relationships/hyperlink" Target="https://manuals.sp.chfs.ky.gov/chapter13/26/Pages/139SiblingRelationshipDecision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ina.webb@ky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2/03/Pages/210InitiatingtheReport.aspx" TargetMode="External"/><Relationship Id="rId17" Type="http://schemas.openxmlformats.org/officeDocument/2006/relationships/hyperlink" Target="https://manuals.sp.chfs.ky.gov/chapter13/25/Pages/133SwiftAdoption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11/37/Pages/1136InvoluntaryTerminationofParentalRights(TPR).aspx" TargetMode="External"/><Relationship Id="rId20" Type="http://schemas.openxmlformats.org/officeDocument/2006/relationships/hyperlink" Target="https://manuals.sp.chfs.ky.gov/Resources/Related%20Resources%20Library/Ongoing%20OOHC%20Case%20Consultation%20Template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1/00/Pages/112UtilizationReviewandConsultation.asp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4/13/Pages/435OngoingCasePlanning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anuals.sp.chfs.ky.gov/chapter1/00/Pages/15supervisionandconsultation.aspx" TargetMode="External"/><Relationship Id="rId19" Type="http://schemas.openxmlformats.org/officeDocument/2006/relationships/hyperlink" Target="https://manuals.sp.chfs.ky.gov/Resources/Related%20Resources%20Library/Three%20Month%20Initial%20OOHC%20Case%20Consultation%20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uals.sp.chfs.ky.gov/chapter4/11/Pages/417preparationforandcompletionoftheten(10)dayconference.aspx" TargetMode="External"/><Relationship Id="rId22" Type="http://schemas.openxmlformats.org/officeDocument/2006/relationships/hyperlink" Target="mailto:bruce.linder@ky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DBC56-1E6B-4D9C-8811-ECE903E19395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11-04 New Out of Home Care Case Consultation Requirements</vt:lpstr>
    </vt:vector>
  </TitlesOfParts>
  <Company>Commonwealth of Kentucky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11-04 New Out of Home Care Case Consultation Requirements</dc:title>
  <dc:subject/>
  <dc:creator>sarah.cooper</dc:creator>
  <cp:keywords/>
  <dc:description/>
  <cp:lastModifiedBy>sarah.cooper</cp:lastModifiedBy>
  <cp:revision>2</cp:revision>
  <dcterms:created xsi:type="dcterms:W3CDTF">2011-03-22T18:39:00Z</dcterms:created>
  <dcterms:modified xsi:type="dcterms:W3CDTF">2011-03-22T18:39:00Z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